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2A" w:rsidRPr="00F42D2A" w:rsidRDefault="0097722B" w:rsidP="006564A1">
      <w:pPr>
        <w:spacing w:after="48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Beszámoló a </w:t>
      </w:r>
      <w:r w:rsidR="00F42D2A" w:rsidRPr="00F42D2A">
        <w:rPr>
          <w:rFonts w:ascii="Times New Roman" w:hAnsi="Times New Roman" w:cs="Times New Roman"/>
          <w:b/>
          <w:sz w:val="32"/>
        </w:rPr>
        <w:t>Matematika-logika kompetencia munkaközösség</w:t>
      </w:r>
      <w:r>
        <w:rPr>
          <w:rFonts w:ascii="Times New Roman" w:hAnsi="Times New Roman" w:cs="Times New Roman"/>
          <w:b/>
          <w:sz w:val="32"/>
        </w:rPr>
        <w:t xml:space="preserve"> 201</w:t>
      </w:r>
      <w:r w:rsidR="00BF074E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/201</w:t>
      </w:r>
      <w:r w:rsidR="00BF074E">
        <w:rPr>
          <w:rFonts w:ascii="Times New Roman" w:hAnsi="Times New Roman" w:cs="Times New Roman"/>
          <w:b/>
          <w:sz w:val="32"/>
        </w:rPr>
        <w:t>9</w:t>
      </w:r>
      <w:r w:rsidR="00F42D2A" w:rsidRPr="00F42D2A">
        <w:rPr>
          <w:rFonts w:ascii="Times New Roman" w:hAnsi="Times New Roman" w:cs="Times New Roman"/>
          <w:b/>
          <w:sz w:val="32"/>
        </w:rPr>
        <w:t>. tanév első félév</w:t>
      </w:r>
      <w:r>
        <w:rPr>
          <w:rFonts w:ascii="Times New Roman" w:hAnsi="Times New Roman" w:cs="Times New Roman"/>
          <w:b/>
          <w:sz w:val="32"/>
        </w:rPr>
        <w:t>éről</w:t>
      </w:r>
    </w:p>
    <w:p w:rsidR="00F42D2A" w:rsidRPr="00F42D2A" w:rsidRDefault="00F42D2A" w:rsidP="00F42D2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2D2A">
        <w:rPr>
          <w:rFonts w:ascii="Times New Roman" w:hAnsi="Times New Roman" w:cs="Times New Roman"/>
          <w:sz w:val="24"/>
        </w:rPr>
        <w:t>Munkaközösség vezető:</w:t>
      </w:r>
      <w:r w:rsidRPr="00F42D2A">
        <w:rPr>
          <w:rFonts w:ascii="Times New Roman" w:hAnsi="Times New Roman" w:cs="Times New Roman"/>
          <w:sz w:val="24"/>
        </w:rPr>
        <w:tab/>
        <w:t>Magyar Mariann</w:t>
      </w:r>
    </w:p>
    <w:p w:rsidR="007128C3" w:rsidRDefault="0097722B" w:rsidP="00F42D2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Munkaközösség </w:t>
      </w:r>
      <w:r w:rsidR="00C92560">
        <w:rPr>
          <w:rFonts w:ascii="Times New Roman" w:hAnsi="Times New Roman" w:cs="Times New Roman"/>
          <w:sz w:val="24"/>
        </w:rPr>
        <w:t>létszáma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  <w:t>1</w:t>
      </w:r>
      <w:r w:rsidR="00C92560">
        <w:rPr>
          <w:rFonts w:ascii="Times New Roman" w:hAnsi="Times New Roman" w:cs="Times New Roman"/>
          <w:sz w:val="24"/>
        </w:rPr>
        <w:t>3</w:t>
      </w:r>
      <w:r w:rsidR="00F42D2A" w:rsidRPr="00F42D2A">
        <w:rPr>
          <w:rFonts w:ascii="Times New Roman" w:hAnsi="Times New Roman" w:cs="Times New Roman"/>
          <w:sz w:val="24"/>
        </w:rPr>
        <w:t xml:space="preserve"> fő</w:t>
      </w:r>
    </w:p>
    <w:p w:rsidR="00BF074E" w:rsidRDefault="00BF074E" w:rsidP="00BF074E">
      <w:pPr>
        <w:pStyle w:val="Default"/>
        <w:spacing w:before="120" w:after="120"/>
      </w:pPr>
      <w:r>
        <w:rPr>
          <w:bCs/>
        </w:rPr>
        <w:t>M</w:t>
      </w:r>
      <w:r w:rsidRPr="004F7DD2">
        <w:rPr>
          <w:bCs/>
        </w:rPr>
        <w:t>unkaközösség tagjai</w:t>
      </w:r>
      <w:r>
        <w:t>:</w:t>
      </w:r>
      <w:r>
        <w:tab/>
        <w:t>Árián Péterné</w:t>
      </w:r>
      <w:r>
        <w:tab/>
      </w:r>
    </w:p>
    <w:p w:rsidR="00BF074E" w:rsidRDefault="00BF074E" w:rsidP="00BF074E">
      <w:pPr>
        <w:pStyle w:val="Default"/>
        <w:spacing w:before="120" w:after="120"/>
        <w:ind w:left="2835" w:right="4383"/>
      </w:pPr>
      <w:proofErr w:type="spellStart"/>
      <w:r>
        <w:t>Borsy</w:t>
      </w:r>
      <w:proofErr w:type="spellEnd"/>
      <w:r>
        <w:t xml:space="preserve"> László</w:t>
      </w:r>
    </w:p>
    <w:p w:rsidR="00BF074E" w:rsidRDefault="00BF074E" w:rsidP="00BF074E">
      <w:pPr>
        <w:pStyle w:val="Default"/>
        <w:spacing w:before="120" w:after="120"/>
        <w:ind w:left="2835" w:right="4383"/>
      </w:pPr>
      <w:proofErr w:type="spellStart"/>
      <w:r>
        <w:t>Fata</w:t>
      </w:r>
      <w:proofErr w:type="spellEnd"/>
      <w:r>
        <w:t xml:space="preserve"> Éva</w:t>
      </w:r>
    </w:p>
    <w:p w:rsidR="00BF074E" w:rsidRDefault="00BF074E" w:rsidP="00BF074E">
      <w:pPr>
        <w:pStyle w:val="Default"/>
        <w:spacing w:before="120" w:after="120"/>
        <w:ind w:left="2835" w:right="4383"/>
      </w:pPr>
      <w:proofErr w:type="spellStart"/>
      <w:r>
        <w:t>Gubek</w:t>
      </w:r>
      <w:proofErr w:type="spellEnd"/>
      <w:r>
        <w:t xml:space="preserve"> Katalin</w:t>
      </w:r>
    </w:p>
    <w:p w:rsidR="00BF074E" w:rsidRDefault="00BF074E" w:rsidP="00BF074E">
      <w:pPr>
        <w:pStyle w:val="Default"/>
        <w:spacing w:before="120" w:after="120"/>
        <w:ind w:left="2835" w:right="4383"/>
      </w:pPr>
      <w:r>
        <w:t>Kucsera Ilona</w:t>
      </w:r>
    </w:p>
    <w:p w:rsidR="00BF074E" w:rsidRPr="001C326C" w:rsidRDefault="00BF074E" w:rsidP="00BF074E">
      <w:pPr>
        <w:pStyle w:val="Default"/>
        <w:spacing w:before="120" w:after="120"/>
        <w:ind w:left="2835" w:right="4383"/>
      </w:pPr>
      <w:r>
        <w:t>Kun József</w:t>
      </w:r>
      <w:r>
        <w:tab/>
      </w:r>
    </w:p>
    <w:p w:rsidR="00BF074E" w:rsidRDefault="00BF074E" w:rsidP="00BF074E">
      <w:pPr>
        <w:pStyle w:val="Default"/>
        <w:spacing w:before="120" w:after="120"/>
        <w:ind w:left="2835" w:right="4383"/>
      </w:pPr>
      <w:proofErr w:type="spellStart"/>
      <w:r>
        <w:t>Nyuzó</w:t>
      </w:r>
      <w:proofErr w:type="spellEnd"/>
      <w:r>
        <w:t xml:space="preserve"> Dóra</w:t>
      </w:r>
    </w:p>
    <w:p w:rsidR="00BF074E" w:rsidRDefault="00BF074E" w:rsidP="00BF074E">
      <w:pPr>
        <w:pStyle w:val="Default"/>
        <w:spacing w:before="120" w:after="120"/>
        <w:ind w:left="2835" w:right="4383"/>
      </w:pPr>
      <w:proofErr w:type="spellStart"/>
      <w:r>
        <w:t>Rátkay</w:t>
      </w:r>
      <w:proofErr w:type="spellEnd"/>
      <w:r>
        <w:t xml:space="preserve"> Judit</w:t>
      </w:r>
    </w:p>
    <w:p w:rsidR="00BF074E" w:rsidRDefault="00BF074E" w:rsidP="00BF074E">
      <w:pPr>
        <w:pStyle w:val="Default"/>
        <w:spacing w:before="120" w:after="120"/>
        <w:ind w:left="2835" w:right="4383"/>
      </w:pPr>
      <w:r>
        <w:t>Szlávik Zoltánné</w:t>
      </w:r>
    </w:p>
    <w:p w:rsidR="00BF074E" w:rsidRDefault="00BF074E" w:rsidP="00BF074E">
      <w:pPr>
        <w:pStyle w:val="Default"/>
        <w:spacing w:before="120" w:after="120"/>
        <w:ind w:left="2835" w:right="4383"/>
      </w:pPr>
      <w:r w:rsidRPr="008C3DF1">
        <w:t>Tóth Mariann</w:t>
      </w:r>
    </w:p>
    <w:p w:rsidR="00BF074E" w:rsidRDefault="00BF074E" w:rsidP="00BF074E">
      <w:pPr>
        <w:pStyle w:val="Default"/>
        <w:spacing w:before="120" w:after="120"/>
        <w:ind w:left="2835" w:right="4383"/>
      </w:pPr>
      <w:r>
        <w:t>Tóth Szilvia</w:t>
      </w:r>
    </w:p>
    <w:p w:rsidR="006564A1" w:rsidRDefault="006564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3397"/>
        <w:gridCol w:w="3260"/>
        <w:gridCol w:w="3407"/>
        <w:gridCol w:w="3544"/>
      </w:tblGrid>
      <w:tr w:rsidR="00A438C0" w:rsidRPr="00D75842" w:rsidTr="00557994">
        <w:trPr>
          <w:trHeight w:val="699"/>
        </w:trPr>
        <w:tc>
          <w:tcPr>
            <w:tcW w:w="3397" w:type="dxa"/>
            <w:vAlign w:val="center"/>
          </w:tcPr>
          <w:p w:rsidR="00D75842" w:rsidRPr="00D75842" w:rsidRDefault="00D75842" w:rsidP="00D75842">
            <w:pPr>
              <w:spacing w:before="160"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Feladat</w:t>
            </w:r>
          </w:p>
        </w:tc>
        <w:tc>
          <w:tcPr>
            <w:tcW w:w="3260" w:type="dxa"/>
            <w:vAlign w:val="center"/>
          </w:tcPr>
          <w:p w:rsidR="00D75842" w:rsidRPr="00D75842" w:rsidRDefault="00D75842" w:rsidP="00D75842">
            <w:pPr>
              <w:spacing w:before="160"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Elemzés</w:t>
            </w:r>
          </w:p>
        </w:tc>
        <w:tc>
          <w:tcPr>
            <w:tcW w:w="3407" w:type="dxa"/>
            <w:vAlign w:val="center"/>
          </w:tcPr>
          <w:p w:rsidR="00D75842" w:rsidRPr="00D75842" w:rsidRDefault="00D75842" w:rsidP="005C50A2">
            <w:pPr>
              <w:spacing w:before="160" w:after="160"/>
              <w:ind w:left="40"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Minősítő értékelés</w:t>
            </w:r>
          </w:p>
        </w:tc>
        <w:tc>
          <w:tcPr>
            <w:tcW w:w="3544" w:type="dxa"/>
            <w:vAlign w:val="center"/>
          </w:tcPr>
          <w:p w:rsidR="00D75842" w:rsidRPr="00D75842" w:rsidRDefault="00D75842" w:rsidP="00D75842">
            <w:pPr>
              <w:spacing w:before="160"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Feladat meghatározása</w:t>
            </w:r>
          </w:p>
        </w:tc>
      </w:tr>
      <w:tr w:rsidR="00A438C0" w:rsidRPr="00D75842" w:rsidTr="006564A1">
        <w:trPr>
          <w:trHeight w:val="1279"/>
        </w:trPr>
        <w:tc>
          <w:tcPr>
            <w:tcW w:w="3397" w:type="dxa"/>
          </w:tcPr>
          <w:p w:rsidR="00351F3D" w:rsidRPr="00D75842" w:rsidRDefault="00D75842" w:rsidP="00F9003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Új kollég</w:t>
            </w:r>
            <w:r w:rsidR="00C9256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munkájának támogatása, beilleszkedé</w:t>
            </w:r>
            <w:r w:rsidR="00C92560">
              <w:rPr>
                <w:rFonts w:ascii="Times New Roman" w:eastAsia="Calibri" w:hAnsi="Times New Roman" w:cs="Times New Roman"/>
                <w:sz w:val="24"/>
                <w:szCs w:val="24"/>
              </w:rPr>
              <w:t>sének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segítése</w:t>
            </w:r>
            <w:r w:rsidR="00F90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7722B">
              <w:rPr>
                <w:rFonts w:ascii="Times New Roman" w:eastAsia="Calibri" w:hAnsi="Times New Roman" w:cs="Times New Roman"/>
                <w:sz w:val="24"/>
                <w:szCs w:val="24"/>
              </w:rPr>
              <w:t>Új kollég</w:t>
            </w:r>
            <w:r w:rsidR="00C9256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977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Kun József, </w:t>
            </w:r>
            <w:proofErr w:type="spellStart"/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>Rátkay</w:t>
            </w:r>
            <w:proofErr w:type="spellEnd"/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Judit</w:t>
            </w:r>
          </w:p>
        </w:tc>
        <w:tc>
          <w:tcPr>
            <w:tcW w:w="3260" w:type="dxa"/>
          </w:tcPr>
          <w:p w:rsidR="00351F3D" w:rsidRPr="00D75842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mentor</w:t>
            </w:r>
            <w:r w:rsidR="00043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folyamatosan segíti az új kollég</w:t>
            </w:r>
            <w:r w:rsidR="00C9256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munkáját. A kompetencia alapú oktatás eszközrendszerének ismertetése a mindennapi tanítás során.</w:t>
            </w:r>
          </w:p>
        </w:tc>
        <w:tc>
          <w:tcPr>
            <w:tcW w:w="3407" w:type="dxa"/>
          </w:tcPr>
          <w:p w:rsidR="00BF074E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Az alapvető feladatokon túl az e-napló ismertetése és a digitális feladatbank ajánlása is sikeres volt.</w:t>
            </w:r>
            <w:r w:rsidR="00876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mentor segíti a diagnosztizáló mérés és a témazáró felmérőkkel kapcsolatos f</w:t>
            </w:r>
            <w:r w:rsidR="004A01BC">
              <w:rPr>
                <w:rFonts w:ascii="Times New Roman" w:eastAsia="Calibri" w:hAnsi="Times New Roman" w:cs="Times New Roman"/>
                <w:sz w:val="24"/>
                <w:szCs w:val="24"/>
              </w:rPr>
              <w:t>eladatok elvégzését. M</w:t>
            </w:r>
            <w:r w:rsidR="006B6783">
              <w:rPr>
                <w:rFonts w:ascii="Times New Roman" w:eastAsia="Calibri" w:hAnsi="Times New Roman" w:cs="Times New Roman"/>
                <w:sz w:val="24"/>
                <w:szCs w:val="24"/>
              </w:rPr>
              <w:t>unkaközösségünket</w:t>
            </w:r>
            <w:r w:rsidR="00876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az </w:t>
            </w:r>
            <w:proofErr w:type="spellStart"/>
            <w:r w:rsidR="00876256">
              <w:rPr>
                <w:rFonts w:ascii="Times New Roman" w:eastAsia="Calibri" w:hAnsi="Times New Roman" w:cs="Times New Roman"/>
                <w:sz w:val="24"/>
                <w:szCs w:val="24"/>
              </w:rPr>
              <w:t>évfolyamonkénti</w:t>
            </w:r>
            <w:proofErr w:type="spellEnd"/>
            <w:r w:rsidR="00876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együttműködés, óravázlatok, </w:t>
            </w:r>
            <w:r w:rsidR="006B678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76256">
              <w:rPr>
                <w:rFonts w:ascii="Times New Roman" w:eastAsia="Calibri" w:hAnsi="Times New Roman" w:cs="Times New Roman"/>
                <w:sz w:val="24"/>
                <w:szCs w:val="24"/>
              </w:rPr>
              <w:t>játékos</w:t>
            </w:r>
            <w:r w:rsidR="006B678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76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feladatok megosztása, e</w:t>
            </w:r>
            <w:r w:rsidR="006B6783">
              <w:rPr>
                <w:rFonts w:ascii="Times New Roman" w:eastAsia="Calibri" w:hAnsi="Times New Roman" w:cs="Times New Roman"/>
                <w:sz w:val="24"/>
                <w:szCs w:val="24"/>
              </w:rPr>
              <w:t>gymás munkájának segítése jellemzi</w:t>
            </w:r>
            <w:r w:rsidR="00876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51F3D" w:rsidRPr="00D75842" w:rsidRDefault="00A77811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Segítettük</w:t>
            </w:r>
            <w:r w:rsidR="00D80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>Rátkay</w:t>
            </w:r>
            <w:proofErr w:type="spellEnd"/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Judit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és 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>Kun József beilleszkedését. Mindkét kolléga munkáj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ával meg vagyunk elégedve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D75842" w:rsidRPr="00D75842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Az alkalmazott módszerek elmélyítése.</w:t>
            </w:r>
            <w:r w:rsidR="006B6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38C0" w:rsidRPr="00D75842" w:rsidTr="006564A1">
        <w:trPr>
          <w:trHeight w:val="3393"/>
        </w:trPr>
        <w:tc>
          <w:tcPr>
            <w:tcW w:w="3397" w:type="dxa"/>
          </w:tcPr>
          <w:p w:rsidR="004A01BC" w:rsidRPr="00D75842" w:rsidRDefault="004A01BC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kommunikáció erősítése, javítása</w:t>
            </w:r>
          </w:p>
        </w:tc>
        <w:tc>
          <w:tcPr>
            <w:tcW w:w="3260" w:type="dxa"/>
          </w:tcPr>
          <w:p w:rsidR="004A01BC" w:rsidRPr="00D75842" w:rsidRDefault="004A01BC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szakmai munkaközösség hatékonyan együttműködik, napi kapcsolatban vagyunk egymással, folyamatos konzultációkat tartunk mind elektronikusan, mind személyesen. </w:t>
            </w:r>
          </w:p>
        </w:tc>
        <w:tc>
          <w:tcPr>
            <w:tcW w:w="3407" w:type="dxa"/>
          </w:tcPr>
          <w:p w:rsidR="004A01BC" w:rsidRPr="00D75842" w:rsidRDefault="004A01BC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munkaközösség tagjai számíthatnak egymásra, a feladatok megosztása arányos, a versenyeken való részvételt támogatják a kollégák. Az elért eredmények is bizonyítják a munkaközösség hatékony működését.</w:t>
            </w:r>
          </w:p>
        </w:tc>
        <w:tc>
          <w:tcPr>
            <w:tcW w:w="3544" w:type="dxa"/>
          </w:tcPr>
          <w:p w:rsidR="004A01BC" w:rsidRPr="00D75842" w:rsidRDefault="004A01BC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8C0" w:rsidRPr="00D75842" w:rsidTr="006564A1">
        <w:trPr>
          <w:trHeight w:val="1266"/>
        </w:trPr>
        <w:tc>
          <w:tcPr>
            <w:tcW w:w="3397" w:type="dxa"/>
          </w:tcPr>
          <w:p w:rsidR="00D75842" w:rsidRPr="00D75842" w:rsidRDefault="006B6783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Szeptemberi diagnosztizáló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mérések eredményei alapján meghatározott feladatok beillesztése a tanmenet vonatkozó témakörének gyakorlási </w:t>
            </w:r>
            <w:proofErr w:type="spellStart"/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anyagába</w:t>
            </w:r>
            <w:proofErr w:type="spellEnd"/>
          </w:p>
        </w:tc>
        <w:tc>
          <w:tcPr>
            <w:tcW w:w="3260" w:type="dxa"/>
          </w:tcPr>
          <w:p w:rsidR="00BF074E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tanév első hetében sorra került a diagnosztizáló mérések megíratása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az alsó tagozaton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842" w:rsidRPr="00D75842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kollégák egy napon, egy időben íratták a feladatsort.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felső tagozaton a tanév második hetében került sor</w:t>
            </w:r>
            <w:r w:rsidR="002C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2C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mérés 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>meg</w:t>
            </w:r>
            <w:r w:rsidR="002C70EE">
              <w:rPr>
                <w:rFonts w:ascii="Times New Roman" w:eastAsia="Calibri" w:hAnsi="Times New Roman" w:cs="Times New Roman"/>
                <w:sz w:val="24"/>
                <w:szCs w:val="24"/>
              </w:rPr>
              <w:t>í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>ratás</w:t>
            </w:r>
            <w:r w:rsidR="002C70EE">
              <w:rPr>
                <w:rFonts w:ascii="Times New Roman" w:eastAsia="Calibri" w:hAnsi="Times New Roman" w:cs="Times New Roman"/>
                <w:sz w:val="24"/>
                <w:szCs w:val="24"/>
              </w:rPr>
              <w:t>ár</w:t>
            </w:r>
            <w:r w:rsidR="00BF074E"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</w:p>
          <w:p w:rsidR="00C92560" w:rsidRPr="00D75842" w:rsidRDefault="004455FF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Ennek figyelembe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vételével egészítették ki tanmeneteiket, ahol meghatározták a kitűzött célokat, és feltöltöttek az 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iskolai tárhelyre (a tanmenet mappába).</w:t>
            </w:r>
          </w:p>
        </w:tc>
        <w:tc>
          <w:tcPr>
            <w:tcW w:w="3407" w:type="dxa"/>
          </w:tcPr>
          <w:p w:rsidR="00D75842" w:rsidRPr="00D75842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kollégák időben megküldték a tanulók, illetve az osztály értékelését.</w:t>
            </w:r>
          </w:p>
          <w:p w:rsidR="00D75842" w:rsidRPr="00D75842" w:rsidRDefault="006B6783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Mind az alsó, mind a felső tagozaton tanító kollégák munkája példaértékű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560" w:rsidRPr="00D75842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munkaközösség tagjai közül mindenki időben feltöltötte a megfelelő he</w:t>
            </w:r>
            <w:r w:rsidR="00105677">
              <w:rPr>
                <w:rFonts w:ascii="Times New Roman" w:eastAsia="Calibri" w:hAnsi="Times New Roman" w:cs="Times New Roman"/>
                <w:sz w:val="24"/>
                <w:szCs w:val="24"/>
              </w:rPr>
              <w:t>lyre a kiegészített tanmenetét.</w:t>
            </w:r>
          </w:p>
        </w:tc>
        <w:tc>
          <w:tcPr>
            <w:tcW w:w="3544" w:type="dxa"/>
          </w:tcPr>
          <w:p w:rsidR="00B238C0" w:rsidRPr="00D75842" w:rsidRDefault="00D8022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Többek között a diagnosztizáló mérés is segít a differenciálásban, csoportbontás kialakításában. A differenciálás módsze</w:t>
            </w:r>
            <w:r w:rsidR="004455FF">
              <w:rPr>
                <w:rFonts w:ascii="Times New Roman" w:eastAsia="Calibri" w:hAnsi="Times New Roman" w:cs="Times New Roman"/>
                <w:sz w:val="24"/>
                <w:szCs w:val="24"/>
              </w:rPr>
              <w:t>rét továbbra is alkalmazni kell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hatékony munka érdekébe</w:t>
            </w:r>
            <w:r w:rsidR="00D80B7C">
              <w:rPr>
                <w:rFonts w:ascii="Times New Roman" w:eastAsia="Calibri" w:hAnsi="Times New Roman" w:cs="Times New Roman"/>
                <w:sz w:val="24"/>
                <w:szCs w:val="24"/>
              </w:rPr>
              <w:t>n. Minden kollégám</w:t>
            </w:r>
            <w:r w:rsidR="007A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0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gyakran </w:t>
            </w:r>
            <w:r w:rsidR="007A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alkalmazza </w:t>
            </w:r>
            <w:r w:rsidR="00D80B7C">
              <w:rPr>
                <w:rFonts w:ascii="Times New Roman" w:eastAsia="Calibri" w:hAnsi="Times New Roman" w:cs="Times New Roman"/>
                <w:sz w:val="24"/>
                <w:szCs w:val="24"/>
              </w:rPr>
              <w:t>ezt a módszer</w:t>
            </w:r>
            <w:r w:rsidR="007A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t, </w:t>
            </w:r>
            <w:r w:rsidR="00D80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amit </w:t>
            </w:r>
            <w:r w:rsidR="007A38DA">
              <w:rPr>
                <w:rFonts w:ascii="Times New Roman" w:eastAsia="Calibri" w:hAnsi="Times New Roman" w:cs="Times New Roman"/>
                <w:sz w:val="24"/>
                <w:szCs w:val="24"/>
              </w:rPr>
              <w:t>felső tag</w:t>
            </w:r>
            <w:r w:rsidR="00D80B7C">
              <w:rPr>
                <w:rFonts w:ascii="Times New Roman" w:eastAsia="Calibri" w:hAnsi="Times New Roman" w:cs="Times New Roman"/>
                <w:sz w:val="24"/>
                <w:szCs w:val="24"/>
              </w:rPr>
              <w:t>ozaton csoportbontással is erősítünk. Ez</w:t>
            </w:r>
            <w:r w:rsidR="007A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nagyban hozzájárul ahhoz, hogy a diákok képességeik szerint haladjanak, a lassabban haladók felzárkózzanak, a jól teljesítők </w:t>
            </w:r>
            <w:r w:rsidR="007A38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pedig gyorsabb tempóban fejlődjenek, a versenyeken jó eredményeket érjenek el</w:t>
            </w:r>
            <w:r w:rsidR="00B238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438C0" w:rsidRPr="00D75842" w:rsidTr="006564A1">
        <w:trPr>
          <w:trHeight w:val="5523"/>
        </w:trPr>
        <w:tc>
          <w:tcPr>
            <w:tcW w:w="3397" w:type="dxa"/>
          </w:tcPr>
          <w:p w:rsidR="00D75842" w:rsidRPr="00D75842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diagnosztizáló mérés eredményeinek értékelése</w:t>
            </w:r>
          </w:p>
        </w:tc>
        <w:tc>
          <w:tcPr>
            <w:tcW w:w="3260" w:type="dxa"/>
          </w:tcPr>
          <w:p w:rsidR="00B238C0" w:rsidRPr="00D75842" w:rsidRDefault="00D75842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Évfolyamonként</w:t>
            </w:r>
            <w:proofErr w:type="spellEnd"/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1-8-ig 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összehasonlítottam a diagnosztizáló mérés eredményeit, továbbá az év végi eredménnyel is összevetettem</w:t>
            </w:r>
            <w:r w:rsidR="00B238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D75842" w:rsidRPr="00D75842" w:rsidRDefault="00B238C0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diagnosztizáló méréseket sikerült összehasonlítani az előző </w:t>
            </w:r>
            <w:r w:rsidR="00CD1C04">
              <w:rPr>
                <w:rFonts w:ascii="Times New Roman" w:eastAsia="Calibri" w:hAnsi="Times New Roman" w:cs="Times New Roman"/>
                <w:sz w:val="24"/>
                <w:szCs w:val="24"/>
              </w:rPr>
              <w:t>tanév végi eredménnyel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A gyerekek teljesítménye változóan alakult</w:t>
            </w:r>
            <w:r w:rsidR="002C70EE">
              <w:rPr>
                <w:rFonts w:ascii="Times New Roman" w:eastAsia="Calibri" w:hAnsi="Times New Roman" w:cs="Times New Roman"/>
                <w:sz w:val="24"/>
                <w:szCs w:val="24"/>
              </w:rPr>
              <w:t>. A 8. évfolyam teljesítménye kifejezetten gyenge lett, amit már a megelőző évek eredményei is tükröztek, azonban a teljesítmény romlása nem állt meg. A tavalyi 19 után 33 olyan diák volt, akinek a teljesítménye nem érte el a 40%-ot.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26E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A26ED" w:rsidRPr="00CA26ED">
              <w:rPr>
                <w:rFonts w:ascii="Times New Roman" w:eastAsia="Calibri" w:hAnsi="Times New Roman" w:cs="Times New Roman"/>
                <w:sz w:val="24"/>
                <w:szCs w:val="24"/>
              </w:rPr>
              <w:t>külön dokumentum</w:t>
            </w:r>
            <w:r w:rsidRPr="00CA26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CD1C04" w:rsidRPr="00D75842" w:rsidRDefault="00CA26ED" w:rsidP="006564A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kollégák beszámolója szerint a diákok hozzáállása és a szülői háttér indokolható a gyenge teljesítmény miatt.</w:t>
            </w:r>
          </w:p>
        </w:tc>
      </w:tr>
      <w:tr w:rsidR="00A438C0" w:rsidRPr="00D75842" w:rsidTr="00631347">
        <w:trPr>
          <w:trHeight w:val="6795"/>
        </w:trPr>
        <w:tc>
          <w:tcPr>
            <w:tcW w:w="3397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belső ellenőrzés kiterjesztése és fokozása az iskolai munka valamennyi területén</w:t>
            </w:r>
          </w:p>
        </w:tc>
        <w:tc>
          <w:tcPr>
            <w:tcW w:w="3260" w:type="dxa"/>
          </w:tcPr>
          <w:p w:rsidR="00A438C0" w:rsidRPr="00D75842" w:rsidRDefault="00C453C8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Nyolc</w:t>
            </w:r>
            <w:r w:rsidR="00B23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kollégánál jártam óralátogatáson (</w:t>
            </w:r>
            <w:r w:rsidR="00D675B3">
              <w:rPr>
                <w:rFonts w:ascii="Times New Roman" w:eastAsia="Calibri" w:hAnsi="Times New Roman" w:cs="Times New Roman"/>
                <w:sz w:val="24"/>
                <w:szCs w:val="24"/>
              </w:rPr>
              <w:t>Harangozó Norin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D67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óra),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Kucsera Ilona,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Nyuzó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Dóra,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Targubáné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1C04">
              <w:rPr>
                <w:rFonts w:ascii="Times New Roman" w:eastAsia="Calibri" w:hAnsi="Times New Roman" w:cs="Times New Roman"/>
                <w:sz w:val="24"/>
                <w:szCs w:val="24"/>
              </w:rPr>
              <w:t>Tari</w:t>
            </w:r>
            <w:proofErr w:type="spellEnd"/>
            <w:r w:rsidR="00CD1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Gabriella, Szabó Emese,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Rátkay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Judit, Tóth Szilvia, </w:t>
            </w:r>
            <w:r w:rsidR="00D675B3">
              <w:rPr>
                <w:rFonts w:ascii="Times New Roman" w:eastAsia="Calibri" w:hAnsi="Times New Roman" w:cs="Times New Roman"/>
                <w:sz w:val="24"/>
                <w:szCs w:val="24"/>
              </w:rPr>
              <w:t>Varga Brigitta</w:t>
            </w:r>
            <w:r w:rsidR="00BC32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, aki</w:t>
            </w:r>
            <w:r w:rsidR="00BC3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 </w:t>
            </w:r>
            <w:r w:rsidR="00CD1C04">
              <w:rPr>
                <w:rFonts w:ascii="Times New Roman" w:eastAsia="Calibri" w:hAnsi="Times New Roman" w:cs="Times New Roman"/>
                <w:sz w:val="24"/>
                <w:szCs w:val="24"/>
              </w:rPr>
              <w:t>többségében</w:t>
            </w:r>
            <w:r w:rsidR="00E22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elküldték</w:t>
            </w:r>
            <w:r w:rsidR="00BC3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óravázlataikat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, majd</w:t>
            </w:r>
            <w:r w:rsidR="00BC3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az iskolavezetéssel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3238">
              <w:rPr>
                <w:rFonts w:ascii="Times New Roman" w:eastAsia="Calibri" w:hAnsi="Times New Roman" w:cs="Times New Roman"/>
                <w:sz w:val="24"/>
                <w:szCs w:val="24"/>
              </w:rPr>
              <w:t>megbeszélést tartottunk.</w:t>
            </w:r>
            <w:r w:rsidR="00497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tanítók önreflexióval értékelték munkájukat, én pedig reflexiót küldtem a látott órákról.</w:t>
            </w:r>
          </w:p>
        </w:tc>
        <w:tc>
          <w:tcPr>
            <w:tcW w:w="3407" w:type="dxa"/>
          </w:tcPr>
          <w:p w:rsidR="00E22B06" w:rsidRDefault="00E22B06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Valamennyi kollégámnál matematika órát láttam. Harangozó Norinánál 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mint mentor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környezetismeret órán is jártam</w:t>
            </w:r>
            <w:r w:rsidR="00A43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953C2" w:rsidRPr="00D75842" w:rsidRDefault="00E22B06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matematika órák látogatására azt követően került sor a kollégáknál, miután egy szakmai, módszertani továbbképzést tartottak a felső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tagozato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kollégák az alsós tanítók számára. A szöveges feladat, illetve a nyitott mondat megoldási menete volt a szakmai nap témája. A tanítók az órájukon bemutatták, hogyan </w:t>
            </w:r>
            <w:r w:rsidR="0049789C">
              <w:rPr>
                <w:rFonts w:ascii="Times New Roman" w:eastAsia="Calibri" w:hAnsi="Times New Roman" w:cs="Times New Roman"/>
                <w:sz w:val="24"/>
                <w:szCs w:val="24"/>
              </w:rPr>
              <w:t>valósítják meg a szöveges feladatok és nyitott mondatok tanítását. Néhány kolléga esetében további szakmai továbbképzés indokolt.</w:t>
            </w:r>
          </w:p>
        </w:tc>
        <w:tc>
          <w:tcPr>
            <w:tcW w:w="3544" w:type="dxa"/>
          </w:tcPr>
          <w:p w:rsidR="00A438C0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További óralátogatások </w:t>
            </w:r>
            <w:r w:rsidR="00497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lesznek 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második félévben</w:t>
            </w:r>
            <w:r w:rsidR="00497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felső </w:t>
            </w:r>
            <w:proofErr w:type="spellStart"/>
            <w:r w:rsidR="0049789C">
              <w:rPr>
                <w:rFonts w:ascii="Times New Roman" w:eastAsia="Calibri" w:hAnsi="Times New Roman" w:cs="Times New Roman"/>
                <w:sz w:val="24"/>
                <w:szCs w:val="24"/>
              </w:rPr>
              <w:t>tagozatos</w:t>
            </w:r>
            <w:proofErr w:type="spellEnd"/>
            <w:r w:rsidR="00497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kollégáknál.</w:t>
            </w:r>
          </w:p>
          <w:p w:rsidR="00A438C0" w:rsidRPr="00D75842" w:rsidRDefault="00A438C0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felső tagozaton tanító kollégák módszertani továbbképzéssel fogják segíteni az alsó tagozaton matematikát tanító kollégákat</w:t>
            </w:r>
            <w:r w:rsidR="00497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későbbiekben 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438C0" w:rsidRPr="00D75842" w:rsidTr="002A1773">
        <w:trPr>
          <w:trHeight w:val="1692"/>
        </w:trPr>
        <w:tc>
          <w:tcPr>
            <w:tcW w:w="3397" w:type="dxa"/>
          </w:tcPr>
          <w:p w:rsidR="00D75842" w:rsidRPr="00D75842" w:rsidRDefault="00D75842" w:rsidP="006313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 felmérő-, és témazáró feladatsorok </w:t>
            </w:r>
            <w:proofErr w:type="spellStart"/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évfolyamonkénti</w:t>
            </w:r>
            <w:proofErr w:type="spellEnd"/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felülvizsgálata</w:t>
            </w:r>
          </w:p>
        </w:tc>
        <w:tc>
          <w:tcPr>
            <w:tcW w:w="3260" w:type="dxa"/>
          </w:tcPr>
          <w:p w:rsidR="003B0BFD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felmérők és témazáró dolgozatok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BFD">
              <w:rPr>
                <w:rFonts w:ascii="Times New Roman" w:eastAsia="Calibri" w:hAnsi="Times New Roman" w:cs="Times New Roman"/>
                <w:sz w:val="24"/>
                <w:szCs w:val="24"/>
              </w:rPr>
              <w:t>évfolyam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>szinten</w:t>
            </w:r>
            <w:r w:rsidR="003B0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egységesí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>tettük</w:t>
            </w:r>
            <w:r w:rsidR="00225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3B0BFD" w:rsidRPr="00D75842" w:rsidRDefault="002258E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felső tagozaton digitális, az alsó tagozaton pedig nyomtatott formában érhetők el a felmérők.</w:t>
            </w:r>
          </w:p>
        </w:tc>
        <w:tc>
          <w:tcPr>
            <w:tcW w:w="3544" w:type="dxa"/>
          </w:tcPr>
          <w:p w:rsidR="00D75842" w:rsidRPr="00D75842" w:rsidRDefault="002258E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alsó tagozaton a felmérők tárlására kijelölt mappa hiányos, kérem ennek pótlását 2019. február 10-ig. </w:t>
            </w:r>
          </w:p>
        </w:tc>
      </w:tr>
      <w:tr w:rsidR="00A438C0" w:rsidRPr="00D75842" w:rsidTr="00631347">
        <w:trPr>
          <w:trHeight w:val="2548"/>
        </w:trPr>
        <w:tc>
          <w:tcPr>
            <w:tcW w:w="3397" w:type="dxa"/>
          </w:tcPr>
          <w:p w:rsidR="00D75842" w:rsidRPr="00D75842" w:rsidRDefault="00D75842" w:rsidP="006313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fővárosi matematika versenyekre a tanulók felkészítése, nevezés, kísérés, eredmények ismertetése, értékelése</w:t>
            </w:r>
          </w:p>
        </w:tc>
        <w:tc>
          <w:tcPr>
            <w:tcW w:w="3260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Az elmúlt évekhez hasonlóan a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kerületi matematika munkaközösség vezetőjével,</w:t>
            </w:r>
            <w:r w:rsidR="00D21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Baranyi Zsuzsa</w:t>
            </w:r>
            <w:r w:rsidR="00591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tanárnővel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együttműkö</w:t>
            </w:r>
            <w:r w:rsidR="00105677">
              <w:rPr>
                <w:rFonts w:ascii="Times New Roman" w:eastAsia="Calibri" w:hAnsi="Times New Roman" w:cs="Times New Roman"/>
                <w:sz w:val="24"/>
                <w:szCs w:val="24"/>
              </w:rPr>
              <w:t>dve részt veszünk a versenyeken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versenyeken </w:t>
            </w:r>
            <w:r w:rsidR="00DB386A">
              <w:rPr>
                <w:rFonts w:ascii="Times New Roman" w:eastAsia="Calibri" w:hAnsi="Times New Roman" w:cs="Times New Roman"/>
                <w:sz w:val="24"/>
                <w:szCs w:val="24"/>
              </w:rPr>
              <w:t>minden évben dobogós eredményeket érünk el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tehetséggondozás további erősítése, versenyeken való részvétel.</w:t>
            </w:r>
          </w:p>
        </w:tc>
      </w:tr>
      <w:tr w:rsidR="00A438C0" w:rsidRPr="00D75842" w:rsidTr="00631347">
        <w:trPr>
          <w:trHeight w:val="1678"/>
        </w:trPr>
        <w:tc>
          <w:tcPr>
            <w:tcW w:w="3397" w:type="dxa"/>
          </w:tcPr>
          <w:p w:rsidR="00CA26ED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Korrepetálások</w:t>
            </w:r>
            <w:r w:rsidR="00CA2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az alsó tagozaton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75842" w:rsidRPr="00D75842" w:rsidRDefault="009C29AD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ED">
              <w:rPr>
                <w:rFonts w:ascii="Times New Roman" w:eastAsia="Calibri" w:hAnsi="Times New Roman" w:cs="Times New Roman"/>
                <w:sz w:val="24"/>
                <w:szCs w:val="24"/>
              </w:rPr>
              <w:t>előkészítők</w:t>
            </w:r>
            <w:r w:rsidR="00CA2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felső tagozaton</w:t>
            </w:r>
          </w:p>
        </w:tc>
        <w:tc>
          <w:tcPr>
            <w:tcW w:w="3260" w:type="dxa"/>
          </w:tcPr>
          <w:p w:rsidR="00D75842" w:rsidRPr="00D75842" w:rsidRDefault="009C29AD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Az alsó tagozaton a</w:t>
            </w:r>
            <w:r w:rsidR="00D75842"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gyengébb képességű tanulók felzárkóztatása, korrepetálása folyamatos.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2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7. osztály második félévében kezdődik a felső </w:t>
            </w:r>
            <w:proofErr w:type="spellStart"/>
            <w:r w:rsidR="00CA26ED">
              <w:rPr>
                <w:rFonts w:ascii="Times New Roman" w:eastAsia="Calibri" w:hAnsi="Times New Roman" w:cs="Times New Roman"/>
                <w:sz w:val="24"/>
                <w:szCs w:val="24"/>
              </w:rPr>
              <w:t>tagozatos</w:t>
            </w:r>
            <w:proofErr w:type="spellEnd"/>
            <w:r w:rsidR="00CA2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előkészítő, és a 8. osztály első félévééig tart.</w:t>
            </w:r>
          </w:p>
        </w:tc>
        <w:tc>
          <w:tcPr>
            <w:tcW w:w="3407" w:type="dxa"/>
          </w:tcPr>
          <w:p w:rsidR="00B676C9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korrepetálások hatására javulnak a diákok eredményei, és kevesebb az elégtelen osztályzat.</w:t>
            </w:r>
          </w:p>
        </w:tc>
        <w:tc>
          <w:tcPr>
            <w:tcW w:w="3544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korrepetálásokra továbbra is szükség van.</w:t>
            </w:r>
            <w:r w:rsidR="00CA2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Az előkészítő hozzájárul a sikeres felvételi vizsgákhoz.</w:t>
            </w:r>
          </w:p>
        </w:tc>
      </w:tr>
      <w:tr w:rsidR="00A438C0" w:rsidRPr="00D75842" w:rsidTr="00631347">
        <w:tc>
          <w:tcPr>
            <w:tcW w:w="3397" w:type="dxa"/>
          </w:tcPr>
          <w:p w:rsidR="00D75842" w:rsidRPr="00D75842" w:rsidRDefault="00D75842" w:rsidP="006313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„Nyílt napokon”</w:t>
            </w:r>
          </w:p>
          <w:p w:rsidR="00D75842" w:rsidRPr="00D75842" w:rsidRDefault="00D75842" w:rsidP="006313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a szülőkkel való kapcsolattartás erősítése</w:t>
            </w:r>
          </w:p>
        </w:tc>
        <w:tc>
          <w:tcPr>
            <w:tcW w:w="3260" w:type="dxa"/>
          </w:tcPr>
          <w:p w:rsidR="0059123E" w:rsidRDefault="0059123E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Idén </w:t>
            </w:r>
            <w:r w:rsidR="00DB386A">
              <w:rPr>
                <w:rFonts w:ascii="Times New Roman" w:eastAsia="Calibri" w:hAnsi="Times New Roman" w:cs="Times New Roman"/>
                <w:sz w:val="24"/>
                <w:szCs w:val="24"/>
              </w:rPr>
              <w:t>minden osztály tartott nyíl</w:t>
            </w:r>
            <w:r w:rsidR="009C29AD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DB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órát.</w:t>
            </w:r>
          </w:p>
          <w:p w:rsidR="0059123E" w:rsidRPr="00D75842" w:rsidRDefault="00105677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nyílt </w:t>
            </w:r>
            <w:r w:rsidR="00DB386A">
              <w:rPr>
                <w:rFonts w:ascii="Times New Roman" w:eastAsia="Calibri" w:hAnsi="Times New Roman" w:cs="Times New Roman"/>
                <w:sz w:val="24"/>
                <w:szCs w:val="24"/>
              </w:rPr>
              <w:t>órák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megtartása sikeres volt valamennyi évfolyamon.</w:t>
            </w:r>
          </w:p>
        </w:tc>
        <w:tc>
          <w:tcPr>
            <w:tcW w:w="3407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nyílt </w:t>
            </w:r>
            <w:r w:rsidR="0059123E">
              <w:rPr>
                <w:rFonts w:ascii="Times New Roman" w:eastAsia="Calibri" w:hAnsi="Times New Roman" w:cs="Times New Roman"/>
                <w:sz w:val="24"/>
                <w:szCs w:val="24"/>
              </w:rPr>
              <w:t>órák megtartása nagyon népszerű volt, melyek</w:t>
            </w: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erősítik a tanítók és a szülők kapcsolatát.</w:t>
            </w:r>
          </w:p>
        </w:tc>
        <w:tc>
          <w:tcPr>
            <w:tcW w:w="3544" w:type="dxa"/>
          </w:tcPr>
          <w:p w:rsidR="00D75842" w:rsidRPr="00D75842" w:rsidRDefault="00663A6C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Továbbra is </w:t>
            </w:r>
            <w:r w:rsidR="00A061A6">
              <w:rPr>
                <w:rFonts w:ascii="Times New Roman" w:eastAsia="Calibri" w:hAnsi="Times New Roman" w:cs="Times New Roman"/>
                <w:sz w:val="24"/>
                <w:szCs w:val="24"/>
              </w:rPr>
              <w:t>javasoljuk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61A6">
              <w:rPr>
                <w:rFonts w:ascii="Times New Roman" w:eastAsia="Calibri" w:hAnsi="Times New Roman" w:cs="Times New Roman"/>
                <w:sz w:val="24"/>
                <w:szCs w:val="24"/>
              </w:rPr>
              <w:t>a nyílt napok megtartását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ahol a szülők megismerhetik a kompetencia alapú oktatást, a differenciálás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lehetőségét, továbbá a digitális oktatás előnyeit.</w:t>
            </w:r>
          </w:p>
        </w:tc>
      </w:tr>
      <w:tr w:rsidR="00A438C0" w:rsidRPr="00D75842" w:rsidTr="00631347">
        <w:trPr>
          <w:trHeight w:val="2117"/>
        </w:trPr>
        <w:tc>
          <w:tcPr>
            <w:tcW w:w="3397" w:type="dxa"/>
          </w:tcPr>
          <w:p w:rsidR="004B1A16" w:rsidRPr="00D75842" w:rsidRDefault="004B1A16" w:rsidP="006313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5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osztályba lépett tanulók, tapasztalatok</w:t>
            </w:r>
          </w:p>
        </w:tc>
        <w:tc>
          <w:tcPr>
            <w:tcW w:w="3260" w:type="dxa"/>
          </w:tcPr>
          <w:p w:rsidR="004E3C66" w:rsidRDefault="004B1A16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Az évfolyamon tanító kollég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>ák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beszámoló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szerint a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gyorsan és a közepesen haladó csoportokban tanuló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diákokkal jó az együttműködés, a szaknyelvet értik, képesek önállóan dolgozni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 házi feladatot döntően elvégzik. A lassabban haladók azonban kevésbé értik a szaknyelvet, nehezebben dolgoznak önállóan, illetve a házi feladatot gyakran nem készítik el. </w:t>
            </w:r>
          </w:p>
        </w:tc>
        <w:tc>
          <w:tcPr>
            <w:tcW w:w="3407" w:type="dxa"/>
          </w:tcPr>
          <w:p w:rsidR="004E3C66" w:rsidRPr="00D75842" w:rsidRDefault="00DD14D7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gyorsan és a közepesen haladó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csoport</w:t>
            </w:r>
            <w:r w:rsidR="008E6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>megfelelő ütemben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halad, teljesítményük összhangban van az elvárásokkal.</w:t>
            </w:r>
            <w:r w:rsidR="008E6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gyengébb csoportot azonban lemaradás jellemzi. </w:t>
            </w:r>
            <w:r w:rsidR="008E6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tanárnő </w:t>
            </w:r>
            <w:r w:rsidR="008E6922">
              <w:rPr>
                <w:rFonts w:ascii="Times New Roman" w:eastAsia="Calibri" w:hAnsi="Times New Roman" w:cs="Times New Roman"/>
                <w:sz w:val="24"/>
                <w:szCs w:val="24"/>
              </w:rPr>
              <w:t>értékelése szerint</w:t>
            </w:r>
            <w:r w:rsidR="00462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diákok csak akkor dolgoznak megfelelően, ha fokozott figyelemmel figyeli a tevékenységüket.</w:t>
            </w:r>
          </w:p>
        </w:tc>
        <w:tc>
          <w:tcPr>
            <w:tcW w:w="3544" w:type="dxa"/>
          </w:tcPr>
          <w:p w:rsidR="007412B0" w:rsidRDefault="00462946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tanárnő értékelése szerint a pluszos órák hatékonysága megkérdőjelezhető, miután összevont csoporttal dolgozik (a korrepetálásra szorulókon kívül más csoportban tanulók is részt vesznek az órán, fegyelmezetlenség miatt hátráltatják a munkát).</w:t>
            </w:r>
          </w:p>
          <w:p w:rsidR="00CA26ED" w:rsidRDefault="00CA26ED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Javasolt a két pluszos óra minden évfolyamon.</w:t>
            </w:r>
          </w:p>
          <w:p w:rsidR="007412B0" w:rsidRDefault="007412B0" w:rsidP="0046294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8C0" w:rsidRPr="00D75842" w:rsidTr="00631347">
        <w:trPr>
          <w:trHeight w:val="2118"/>
        </w:trPr>
        <w:tc>
          <w:tcPr>
            <w:tcW w:w="3397" w:type="dxa"/>
          </w:tcPr>
          <w:p w:rsidR="00EB1D0C" w:rsidRPr="00CA26ED" w:rsidRDefault="00EB1D0C" w:rsidP="006313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ED">
              <w:rPr>
                <w:rFonts w:ascii="Times New Roman" w:eastAsia="Calibri" w:hAnsi="Times New Roman" w:cs="Times New Roman"/>
                <w:sz w:val="24"/>
                <w:szCs w:val="24"/>
              </w:rPr>
              <w:t>Felmentett tanulók</w:t>
            </w:r>
          </w:p>
        </w:tc>
        <w:tc>
          <w:tcPr>
            <w:tcW w:w="3260" w:type="dxa"/>
          </w:tcPr>
          <w:p w:rsidR="00EB1D0C" w:rsidRPr="00B62725" w:rsidRDefault="00EB1D0C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7" w:type="dxa"/>
          </w:tcPr>
          <w:p w:rsidR="00EB1D0C" w:rsidRDefault="00EB1D0C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Külön fejlesztő- és gyógypedagógus foglalkozik velük.</w:t>
            </w:r>
            <w:r w:rsidR="00FC5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Teljesítményük összhangban van az elvárásokkal.</w:t>
            </w:r>
          </w:p>
        </w:tc>
        <w:tc>
          <w:tcPr>
            <w:tcW w:w="3544" w:type="dxa"/>
          </w:tcPr>
          <w:p w:rsidR="00EB1D0C" w:rsidRDefault="00EB1D0C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38C0" w:rsidRPr="00D75842" w:rsidTr="00631347">
        <w:tc>
          <w:tcPr>
            <w:tcW w:w="3397" w:type="dxa"/>
          </w:tcPr>
          <w:p w:rsidR="00D75842" w:rsidRPr="00D75842" w:rsidRDefault="00D75842" w:rsidP="006313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Az első félévi munka értékelése, beszámoló elkészítése</w:t>
            </w:r>
          </w:p>
        </w:tc>
        <w:tc>
          <w:tcPr>
            <w:tcW w:w="3260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842">
              <w:rPr>
                <w:rFonts w:ascii="Times New Roman" w:eastAsia="Calibri" w:hAnsi="Times New Roman" w:cs="Times New Roman"/>
                <w:sz w:val="24"/>
                <w:szCs w:val="24"/>
              </w:rPr>
              <w:t>Javaslatok beépítése a munkatervbe.</w:t>
            </w:r>
          </w:p>
        </w:tc>
        <w:tc>
          <w:tcPr>
            <w:tcW w:w="3544" w:type="dxa"/>
          </w:tcPr>
          <w:p w:rsidR="00D75842" w:rsidRPr="00D75842" w:rsidRDefault="00D75842" w:rsidP="0063134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A26ED" w:rsidRDefault="00CA26ED" w:rsidP="006564A1">
      <w:pPr>
        <w:spacing w:after="480"/>
        <w:jc w:val="center"/>
        <w:rPr>
          <w:rFonts w:ascii="Times New Roman" w:hAnsi="Times New Roman" w:cs="Times New Roman"/>
          <w:sz w:val="32"/>
        </w:rPr>
      </w:pPr>
    </w:p>
    <w:p w:rsidR="00A34E25" w:rsidRPr="00AF005D" w:rsidRDefault="00BE0CFD" w:rsidP="006564A1">
      <w:pPr>
        <w:spacing w:after="480"/>
        <w:jc w:val="center"/>
        <w:rPr>
          <w:rFonts w:ascii="Times New Roman" w:hAnsi="Times New Roman" w:cs="Times New Roman"/>
          <w:sz w:val="32"/>
        </w:rPr>
      </w:pPr>
      <w:r w:rsidRPr="00AF005D">
        <w:rPr>
          <w:rFonts w:ascii="Times New Roman" w:hAnsi="Times New Roman" w:cs="Times New Roman"/>
          <w:sz w:val="32"/>
        </w:rPr>
        <w:t>Versenyeredmények</w:t>
      </w:r>
    </w:p>
    <w:p w:rsidR="003F5C3A" w:rsidRPr="003F5C3A" w:rsidRDefault="003F5C3A" w:rsidP="003F5C3A">
      <w:pPr>
        <w:spacing w:after="360"/>
        <w:rPr>
          <w:rFonts w:ascii="Times New Roman" w:eastAsia="Calibri" w:hAnsi="Times New Roman" w:cs="Times New Roman"/>
          <w:b/>
          <w:sz w:val="28"/>
        </w:rPr>
      </w:pPr>
      <w:r w:rsidRPr="003F5C3A">
        <w:rPr>
          <w:rFonts w:ascii="Times New Roman" w:eastAsia="Calibri" w:hAnsi="Times New Roman" w:cs="Times New Roman"/>
          <w:b/>
          <w:sz w:val="28"/>
        </w:rPr>
        <w:t>Bolyai matematika csapatverseny: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  <w:u w:val="single"/>
        </w:rPr>
      </w:pPr>
      <w:r w:rsidRPr="003F5C3A">
        <w:rPr>
          <w:rFonts w:ascii="Times New Roman" w:eastAsia="Calibri" w:hAnsi="Times New Roman" w:cs="Times New Roman"/>
          <w:sz w:val="24"/>
          <w:u w:val="single"/>
        </w:rPr>
        <w:t>3. évfolyam: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 xml:space="preserve">III. hely: Számos négyes (3.a: Bartha Laura, </w:t>
      </w:r>
      <w:proofErr w:type="spellStart"/>
      <w:r w:rsidRPr="003F5C3A">
        <w:rPr>
          <w:rFonts w:ascii="Times New Roman" w:eastAsia="Calibri" w:hAnsi="Times New Roman" w:cs="Times New Roman"/>
          <w:sz w:val="24"/>
        </w:rPr>
        <w:t>Kudomrák</w:t>
      </w:r>
      <w:proofErr w:type="spellEnd"/>
      <w:r w:rsidRPr="003F5C3A">
        <w:rPr>
          <w:rFonts w:ascii="Times New Roman" w:eastAsia="Calibri" w:hAnsi="Times New Roman" w:cs="Times New Roman"/>
          <w:sz w:val="24"/>
        </w:rPr>
        <w:t xml:space="preserve"> Lili Anna, Szabados Anita, Tóth Ilona Csenge)</w:t>
      </w:r>
    </w:p>
    <w:p w:rsidR="003F5C3A" w:rsidRPr="003F5C3A" w:rsidRDefault="003F5C3A" w:rsidP="003F5C3A">
      <w:pPr>
        <w:spacing w:after="360"/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>Felkészítő: Szabó Emese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  <w:u w:val="single"/>
        </w:rPr>
      </w:pPr>
      <w:r w:rsidRPr="003F5C3A">
        <w:rPr>
          <w:rFonts w:ascii="Times New Roman" w:eastAsia="Calibri" w:hAnsi="Times New Roman" w:cs="Times New Roman"/>
          <w:sz w:val="24"/>
          <w:u w:val="single"/>
        </w:rPr>
        <w:t>4. évfolyam: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>II. hely: MI (4.b: Berecz Gábor, Hárs Mátyás, Kiss Zsófia, Pap Emőke)</w:t>
      </w:r>
    </w:p>
    <w:p w:rsidR="003F5C3A" w:rsidRPr="003F5C3A" w:rsidRDefault="003F5C3A" w:rsidP="003F5C3A">
      <w:pPr>
        <w:spacing w:after="600"/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>Felkészítő: Pozsgai Andrea</w:t>
      </w:r>
    </w:p>
    <w:p w:rsidR="003F5C3A" w:rsidRPr="003F5C3A" w:rsidRDefault="003F5C3A" w:rsidP="003F5C3A">
      <w:pPr>
        <w:spacing w:after="360"/>
        <w:rPr>
          <w:rFonts w:ascii="Times New Roman" w:eastAsia="Calibri" w:hAnsi="Times New Roman" w:cs="Times New Roman"/>
          <w:b/>
          <w:sz w:val="28"/>
        </w:rPr>
      </w:pPr>
      <w:r w:rsidRPr="003F5C3A">
        <w:rPr>
          <w:rFonts w:ascii="Times New Roman" w:eastAsia="Calibri" w:hAnsi="Times New Roman" w:cs="Times New Roman"/>
          <w:b/>
          <w:sz w:val="28"/>
        </w:rPr>
        <w:t>Amfiteátrum Kupa matematikaverseny: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  <w:u w:val="single"/>
        </w:rPr>
      </w:pPr>
      <w:r w:rsidRPr="003F5C3A">
        <w:rPr>
          <w:rFonts w:ascii="Times New Roman" w:eastAsia="Calibri" w:hAnsi="Times New Roman" w:cs="Times New Roman"/>
          <w:sz w:val="24"/>
          <w:u w:val="single"/>
        </w:rPr>
        <w:t>Egyéni: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>II. hely: Mike Gergő (5.b)</w:t>
      </w:r>
    </w:p>
    <w:p w:rsidR="003F5C3A" w:rsidRPr="003F5C3A" w:rsidRDefault="003F5C3A" w:rsidP="003F5C3A">
      <w:pPr>
        <w:spacing w:after="360"/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 xml:space="preserve">Felkészítő: </w:t>
      </w:r>
      <w:proofErr w:type="spellStart"/>
      <w:r w:rsidRPr="003F5C3A">
        <w:rPr>
          <w:rFonts w:ascii="Times New Roman" w:eastAsia="Calibri" w:hAnsi="Times New Roman" w:cs="Times New Roman"/>
          <w:sz w:val="24"/>
        </w:rPr>
        <w:t>Borsy</w:t>
      </w:r>
      <w:proofErr w:type="spellEnd"/>
      <w:r w:rsidRPr="003F5C3A">
        <w:rPr>
          <w:rFonts w:ascii="Times New Roman" w:eastAsia="Calibri" w:hAnsi="Times New Roman" w:cs="Times New Roman"/>
          <w:sz w:val="24"/>
        </w:rPr>
        <w:t xml:space="preserve"> László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  <w:u w:val="single"/>
        </w:rPr>
      </w:pPr>
      <w:r w:rsidRPr="003F5C3A">
        <w:rPr>
          <w:rFonts w:ascii="Times New Roman" w:eastAsia="Calibri" w:hAnsi="Times New Roman" w:cs="Times New Roman"/>
          <w:sz w:val="24"/>
          <w:u w:val="single"/>
        </w:rPr>
        <w:lastRenderedPageBreak/>
        <w:t>Csapat: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 xml:space="preserve">III. hely: Erdélyi Dániel (6.b), Mike Gergő (5.b), </w:t>
      </w:r>
      <w:proofErr w:type="spellStart"/>
      <w:r w:rsidRPr="003F5C3A">
        <w:rPr>
          <w:rFonts w:ascii="Times New Roman" w:eastAsia="Calibri" w:hAnsi="Times New Roman" w:cs="Times New Roman"/>
          <w:sz w:val="24"/>
        </w:rPr>
        <w:t>Mók</w:t>
      </w:r>
      <w:proofErr w:type="spellEnd"/>
      <w:r w:rsidRPr="003F5C3A">
        <w:rPr>
          <w:rFonts w:ascii="Times New Roman" w:eastAsia="Calibri" w:hAnsi="Times New Roman" w:cs="Times New Roman"/>
          <w:sz w:val="24"/>
        </w:rPr>
        <w:t xml:space="preserve"> Dorottya (5.a), Nagy Bence (6.b)</w:t>
      </w:r>
    </w:p>
    <w:p w:rsidR="003F5C3A" w:rsidRDefault="003F5C3A" w:rsidP="003F5C3A">
      <w:pPr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 xml:space="preserve">Felkészítő: </w:t>
      </w:r>
      <w:proofErr w:type="spellStart"/>
      <w:r w:rsidRPr="003F5C3A">
        <w:rPr>
          <w:rFonts w:ascii="Times New Roman" w:eastAsia="Calibri" w:hAnsi="Times New Roman" w:cs="Times New Roman"/>
          <w:sz w:val="24"/>
        </w:rPr>
        <w:t>Fata</w:t>
      </w:r>
      <w:proofErr w:type="spellEnd"/>
      <w:r w:rsidRPr="003F5C3A">
        <w:rPr>
          <w:rFonts w:ascii="Times New Roman" w:eastAsia="Calibri" w:hAnsi="Times New Roman" w:cs="Times New Roman"/>
          <w:sz w:val="24"/>
        </w:rPr>
        <w:t xml:space="preserve"> Éva, </w:t>
      </w:r>
      <w:proofErr w:type="spellStart"/>
      <w:r w:rsidRPr="003F5C3A">
        <w:rPr>
          <w:rFonts w:ascii="Times New Roman" w:eastAsia="Calibri" w:hAnsi="Times New Roman" w:cs="Times New Roman"/>
          <w:sz w:val="24"/>
        </w:rPr>
        <w:t>Borsy</w:t>
      </w:r>
      <w:proofErr w:type="spellEnd"/>
      <w:r w:rsidRPr="003F5C3A">
        <w:rPr>
          <w:rFonts w:ascii="Times New Roman" w:eastAsia="Calibri" w:hAnsi="Times New Roman" w:cs="Times New Roman"/>
          <w:sz w:val="24"/>
        </w:rPr>
        <w:t xml:space="preserve"> László</w:t>
      </w:r>
    </w:p>
    <w:p w:rsidR="00F90039" w:rsidRPr="003F5C3A" w:rsidRDefault="00F90039" w:rsidP="003F5C3A">
      <w:pPr>
        <w:rPr>
          <w:rFonts w:ascii="Times New Roman" w:eastAsia="Calibri" w:hAnsi="Times New Roman" w:cs="Times New Roman"/>
          <w:sz w:val="24"/>
        </w:rPr>
      </w:pPr>
    </w:p>
    <w:p w:rsidR="003F5C3A" w:rsidRPr="003F5C3A" w:rsidRDefault="003F5C3A" w:rsidP="003F5C3A">
      <w:pPr>
        <w:spacing w:after="360"/>
        <w:rPr>
          <w:rFonts w:ascii="Times New Roman" w:eastAsia="Calibri" w:hAnsi="Times New Roman" w:cs="Times New Roman"/>
          <w:b/>
          <w:sz w:val="28"/>
        </w:rPr>
      </w:pPr>
      <w:r w:rsidRPr="003F5C3A">
        <w:rPr>
          <w:rFonts w:ascii="Times New Roman" w:eastAsia="Calibri" w:hAnsi="Times New Roman" w:cs="Times New Roman"/>
          <w:b/>
          <w:sz w:val="28"/>
        </w:rPr>
        <w:t>Iskolai fejszámoló verseny (3. évfolyam)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>I. hely: Bedő Zsófia (3.c)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>II. hely: Varga Zsombor (3.b)</w:t>
      </w:r>
    </w:p>
    <w:p w:rsidR="003F5C3A" w:rsidRPr="003F5C3A" w:rsidRDefault="003F5C3A" w:rsidP="003F5C3A">
      <w:pPr>
        <w:rPr>
          <w:rFonts w:ascii="Times New Roman" w:eastAsia="Calibri" w:hAnsi="Times New Roman" w:cs="Times New Roman"/>
          <w:sz w:val="24"/>
        </w:rPr>
      </w:pPr>
      <w:r w:rsidRPr="003F5C3A">
        <w:rPr>
          <w:rFonts w:ascii="Times New Roman" w:eastAsia="Calibri" w:hAnsi="Times New Roman" w:cs="Times New Roman"/>
          <w:sz w:val="24"/>
        </w:rPr>
        <w:t>III. hely: Májer Zsombor (3.c)</w:t>
      </w:r>
    </w:p>
    <w:p w:rsidR="002A1773" w:rsidRDefault="002A1773" w:rsidP="00137AA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A1773" w:rsidRDefault="005E2B62" w:rsidP="00137AA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munkaközösség a 2018/19-es év első féléves beszámolóját egyhangúlag elfogadta.</w:t>
      </w:r>
    </w:p>
    <w:p w:rsidR="00655293" w:rsidRDefault="00655293" w:rsidP="00137AA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66F42" w:rsidRDefault="00A66F42" w:rsidP="00137AA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3192C" w:rsidRDefault="0053192C" w:rsidP="00137AA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3192C" w:rsidRDefault="0053192C" w:rsidP="00137AA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3192C" w:rsidRDefault="0053192C" w:rsidP="00137AA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</w:t>
      </w:r>
      <w:r w:rsidR="002A1773">
        <w:rPr>
          <w:rFonts w:ascii="Times New Roman" w:hAnsi="Times New Roman" w:cs="Times New Roman"/>
          <w:sz w:val="24"/>
        </w:rPr>
        <w:t>9</w:t>
      </w:r>
      <w:r w:rsidR="0065529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január </w:t>
      </w:r>
      <w:r w:rsidR="0080101E">
        <w:rPr>
          <w:rFonts w:ascii="Times New Roman" w:hAnsi="Times New Roman" w:cs="Times New Roman"/>
          <w:sz w:val="24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Magyar Mariann</w:t>
      </w:r>
    </w:p>
    <w:p w:rsidR="00E41570" w:rsidRPr="00E41570" w:rsidRDefault="0053192C" w:rsidP="00137AA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 w:rsidR="002A177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mk. </w:t>
      </w:r>
      <w:proofErr w:type="spellStart"/>
      <w:r>
        <w:rPr>
          <w:rFonts w:ascii="Times New Roman" w:hAnsi="Times New Roman" w:cs="Times New Roman"/>
          <w:sz w:val="24"/>
        </w:rPr>
        <w:t>vez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E41570" w:rsidRPr="00E41570" w:rsidSect="005C50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46"/>
    <w:rsid w:val="00043B77"/>
    <w:rsid w:val="00076BA4"/>
    <w:rsid w:val="00105677"/>
    <w:rsid w:val="00137AA4"/>
    <w:rsid w:val="001447FF"/>
    <w:rsid w:val="002258E2"/>
    <w:rsid w:val="00254000"/>
    <w:rsid w:val="002A075E"/>
    <w:rsid w:val="002A1773"/>
    <w:rsid w:val="002C70EE"/>
    <w:rsid w:val="0031698C"/>
    <w:rsid w:val="00351F3D"/>
    <w:rsid w:val="003B0BFD"/>
    <w:rsid w:val="003D14D6"/>
    <w:rsid w:val="003F5C3A"/>
    <w:rsid w:val="004455FF"/>
    <w:rsid w:val="00462946"/>
    <w:rsid w:val="0049789C"/>
    <w:rsid w:val="004A01BC"/>
    <w:rsid w:val="004B1A16"/>
    <w:rsid w:val="004D18C0"/>
    <w:rsid w:val="004E3C66"/>
    <w:rsid w:val="005307BD"/>
    <w:rsid w:val="0053192C"/>
    <w:rsid w:val="005421F5"/>
    <w:rsid w:val="00557994"/>
    <w:rsid w:val="0059123E"/>
    <w:rsid w:val="005C50A2"/>
    <w:rsid w:val="005D76F8"/>
    <w:rsid w:val="005E2B62"/>
    <w:rsid w:val="00631347"/>
    <w:rsid w:val="00655293"/>
    <w:rsid w:val="006564A1"/>
    <w:rsid w:val="00663A6C"/>
    <w:rsid w:val="006B6783"/>
    <w:rsid w:val="007128C3"/>
    <w:rsid w:val="007412B0"/>
    <w:rsid w:val="007A38DA"/>
    <w:rsid w:val="0080101E"/>
    <w:rsid w:val="00876256"/>
    <w:rsid w:val="008953C2"/>
    <w:rsid w:val="008A25A2"/>
    <w:rsid w:val="008E6922"/>
    <w:rsid w:val="0093177A"/>
    <w:rsid w:val="0097722B"/>
    <w:rsid w:val="009C29AD"/>
    <w:rsid w:val="009C4351"/>
    <w:rsid w:val="009D7BBB"/>
    <w:rsid w:val="00A061A6"/>
    <w:rsid w:val="00A34E25"/>
    <w:rsid w:val="00A438C0"/>
    <w:rsid w:val="00A66F42"/>
    <w:rsid w:val="00A77811"/>
    <w:rsid w:val="00AA384C"/>
    <w:rsid w:val="00AD2CD6"/>
    <w:rsid w:val="00AF005D"/>
    <w:rsid w:val="00B238C0"/>
    <w:rsid w:val="00B62725"/>
    <w:rsid w:val="00B676C9"/>
    <w:rsid w:val="00BC3238"/>
    <w:rsid w:val="00BE0CFD"/>
    <w:rsid w:val="00BF074E"/>
    <w:rsid w:val="00C453C8"/>
    <w:rsid w:val="00C92560"/>
    <w:rsid w:val="00CA26ED"/>
    <w:rsid w:val="00CD1C04"/>
    <w:rsid w:val="00D217B5"/>
    <w:rsid w:val="00D675B3"/>
    <w:rsid w:val="00D75842"/>
    <w:rsid w:val="00D80222"/>
    <w:rsid w:val="00D80B7C"/>
    <w:rsid w:val="00DB386A"/>
    <w:rsid w:val="00DD14D7"/>
    <w:rsid w:val="00E05946"/>
    <w:rsid w:val="00E22B06"/>
    <w:rsid w:val="00E41570"/>
    <w:rsid w:val="00EB08CF"/>
    <w:rsid w:val="00EB1D0C"/>
    <w:rsid w:val="00EE3AF0"/>
    <w:rsid w:val="00F01140"/>
    <w:rsid w:val="00F42D2A"/>
    <w:rsid w:val="00F90039"/>
    <w:rsid w:val="00FB47C1"/>
    <w:rsid w:val="00FC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0E0D"/>
  <w15:chartTrackingRefBased/>
  <w15:docId w15:val="{2A7D5ADF-A607-4571-8D6F-20D9F74F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7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25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1047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Dibi-Daba</dc:creator>
  <cp:keywords/>
  <dc:description/>
  <cp:lastModifiedBy>Ádám Hornyák</cp:lastModifiedBy>
  <cp:revision>4</cp:revision>
  <dcterms:created xsi:type="dcterms:W3CDTF">2019-01-23T18:16:00Z</dcterms:created>
  <dcterms:modified xsi:type="dcterms:W3CDTF">2019-01-23T18:27:00Z</dcterms:modified>
</cp:coreProperties>
</file>